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49" w:rsidRDefault="004F4949">
      <w:pPr>
        <w:jc w:val="center"/>
        <w:rPr>
          <w:rFonts w:ascii="Arial" w:hAnsi="Arial"/>
          <w:b/>
          <w:bCs/>
          <w:i/>
          <w:iCs/>
          <w:color w:val="000000"/>
          <w:lang w:val="sr-Latn-CS"/>
        </w:rPr>
      </w:pPr>
    </w:p>
    <w:p w:rsidR="004F4949" w:rsidRDefault="004F4949">
      <w:pPr>
        <w:pStyle w:val="Heading1"/>
      </w:pPr>
      <w:r>
        <w:t>INFORMACIJA ZA STUDENTE I PLAN RADA</w:t>
      </w:r>
    </w:p>
    <w:p w:rsidR="004F4949" w:rsidRDefault="004F4949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4F4949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left w:val="thinThickSmallGap" w:sz="12" w:space="0" w:color="FF9900"/>
              <w:right w:val="nil"/>
            </w:tcBorders>
            <w:vAlign w:val="center"/>
          </w:tcPr>
          <w:p w:rsidR="004F4949" w:rsidRDefault="004F4949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left w:val="nil"/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Heading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MATEMATIKA ZA BIZNIS</w:t>
            </w:r>
          </w:p>
        </w:tc>
      </w:tr>
      <w:tr w:rsidR="004F4949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4F4949" w:rsidRDefault="004F4949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:rsidR="004F4949" w:rsidRDefault="004F4949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vAlign w:val="center"/>
          </w:tcPr>
          <w:p w:rsidR="004F4949" w:rsidRDefault="004F4949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vAlign w:val="center"/>
          </w:tcPr>
          <w:p w:rsidR="004F4949" w:rsidRDefault="004F4949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4F4949">
        <w:trPr>
          <w:trHeight w:val="373"/>
          <w:jc w:val="center"/>
        </w:trPr>
        <w:tc>
          <w:tcPr>
            <w:tcW w:w="1081" w:type="pct"/>
            <w:vAlign w:val="center"/>
          </w:tcPr>
          <w:p w:rsidR="004F4949" w:rsidRDefault="004F4949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4F4949" w:rsidRDefault="004F4949">
            <w:pPr>
              <w:pStyle w:val="Heading2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:rsidR="004F4949" w:rsidRDefault="004F4949">
            <w:pPr>
              <w:pStyle w:val="Heading2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I</w:t>
            </w:r>
          </w:p>
        </w:tc>
        <w:tc>
          <w:tcPr>
            <w:tcW w:w="1172" w:type="pct"/>
            <w:vAlign w:val="center"/>
          </w:tcPr>
          <w:p w:rsidR="004F4949" w:rsidRDefault="004F4949">
            <w:pPr>
              <w:ind w:left="12"/>
              <w:jc w:val="center"/>
              <w:rPr>
                <w:rFonts w:ascii="Arial" w:hAnsi="Arial"/>
                <w:b/>
                <w:bCs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sz w:val="20"/>
                <w:lang w:val="sr-Latn-CS"/>
              </w:rPr>
              <w:t>5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Heading3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2P+3V</w:t>
            </w:r>
          </w:p>
        </w:tc>
      </w:tr>
    </w:tbl>
    <w:p w:rsidR="004F4949" w:rsidRDefault="004F4949"/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24"/>
        <w:gridCol w:w="333"/>
        <w:gridCol w:w="1141"/>
        <w:gridCol w:w="405"/>
        <w:gridCol w:w="1068"/>
        <w:gridCol w:w="1475"/>
        <w:gridCol w:w="1475"/>
        <w:gridCol w:w="1902"/>
      </w:tblGrid>
      <w:tr w:rsidR="004F4949" w:rsidTr="00DD446F">
        <w:trPr>
          <w:trHeight w:val="440"/>
        </w:trPr>
        <w:tc>
          <w:tcPr>
            <w:tcW w:w="5000" w:type="pct"/>
            <w:gridSpan w:val="9"/>
          </w:tcPr>
          <w:p w:rsidR="004F4949" w:rsidRDefault="004F4949">
            <w:pPr>
              <w:rPr>
                <w:rFonts w:ascii="Arial" w:hAnsi="Arial"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organizuje:</w:t>
            </w:r>
          </w:p>
          <w:p w:rsidR="004F4949" w:rsidRDefault="004F4949">
            <w:r>
              <w:rPr>
                <w:rFonts w:ascii="Arial" w:hAnsi="Arial"/>
                <w:color w:val="000000"/>
                <w:sz w:val="16"/>
                <w:lang w:val="sr-Latn-CS"/>
              </w:rPr>
              <w:t>Primijenjeni osnovni studijski program Visoke škole za menadžment (studije traju 6 semestara, 180 ECTS kredita)</w:t>
            </w:r>
          </w:p>
        </w:tc>
      </w:tr>
      <w:tr w:rsidR="004F4949" w:rsidTr="00DD446F">
        <w:trPr>
          <w:trHeight w:val="266"/>
        </w:trPr>
        <w:tc>
          <w:tcPr>
            <w:tcW w:w="5000" w:type="pct"/>
            <w:gridSpan w:val="9"/>
          </w:tcPr>
          <w:p w:rsidR="004F4949" w:rsidRDefault="004F4949">
            <w:pPr>
              <w:pStyle w:val="BodyText3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>:</w:t>
            </w:r>
            <w:r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>
              <w:rPr>
                <w:rFonts w:cs="Arial"/>
                <w:color w:val="auto"/>
                <w:sz w:val="16"/>
                <w:lang w:val="sl-SI"/>
              </w:rPr>
              <w:t>Nema uslova za prijavljivanje i slušanje predmeta.</w:t>
            </w:r>
          </w:p>
        </w:tc>
      </w:tr>
      <w:tr w:rsidR="004F4949" w:rsidTr="00DD446F">
        <w:trPr>
          <w:trHeight w:val="242"/>
        </w:trPr>
        <w:tc>
          <w:tcPr>
            <w:tcW w:w="5000" w:type="pct"/>
            <w:gridSpan w:val="9"/>
          </w:tcPr>
          <w:p w:rsidR="004F4949" w:rsidRDefault="004F4949" w:rsidP="00FF2273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Predmet ima za cilj osposobljavanje studenata da razumiju osnovne definicije, tvrđenja, principe i metode privredne i finansijske matematike, koje se široko koriste u mnogim ekonomskim disciplinama, kao npr. Finansijskom menadžmentu, Hartijama od vrijednosti, Bankarskom poslovanju, Osiguranju, ...</w:t>
            </w:r>
          </w:p>
        </w:tc>
      </w:tr>
      <w:tr w:rsidR="004F4949" w:rsidTr="00DD446F">
        <w:trPr>
          <w:trHeight w:val="170"/>
        </w:trPr>
        <w:tc>
          <w:tcPr>
            <w:tcW w:w="5000" w:type="pct"/>
            <w:gridSpan w:val="9"/>
          </w:tcPr>
          <w:p w:rsidR="004F4949" w:rsidRDefault="004F4949" w:rsidP="005B20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9933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844566">
              <w:rPr>
                <w:lang w:val="sr-Latn-CS"/>
              </w:rPr>
              <w:t xml:space="preserve"> </w:t>
            </w:r>
            <w:r w:rsidRPr="00844566">
              <w:rPr>
                <w:sz w:val="16"/>
                <w:lang w:val="sr-Latn-CS"/>
              </w:rPr>
              <w:t xml:space="preserve"> </w:t>
            </w:r>
            <w:r w:rsidRPr="00844566">
              <w:rPr>
                <w:color w:val="auto"/>
                <w:sz w:val="16"/>
                <w:lang w:val="sr-Latn-CS"/>
              </w:rPr>
              <w:t>prof. dr Vladimir Kašćelan</w:t>
            </w:r>
            <w:r w:rsidR="00525546">
              <w:rPr>
                <w:color w:val="auto"/>
                <w:sz w:val="16"/>
                <w:lang w:val="sr-Latn-CS"/>
              </w:rPr>
              <w:t xml:space="preserve"> &amp;</w:t>
            </w:r>
            <w:r w:rsidR="00462F11">
              <w:rPr>
                <w:color w:val="auto"/>
                <w:sz w:val="16"/>
                <w:lang w:val="sr-Latn-CS"/>
              </w:rPr>
              <w:t xml:space="preserve"> </w:t>
            </w:r>
            <w:r w:rsidR="00B22C0B">
              <w:rPr>
                <w:color w:val="auto"/>
                <w:sz w:val="16"/>
                <w:lang w:val="sr-Latn-CS"/>
              </w:rPr>
              <w:t>doc. dr Saša Vujošević</w:t>
            </w:r>
            <w:r w:rsidR="00525546">
              <w:rPr>
                <w:color w:val="auto"/>
                <w:sz w:val="16"/>
                <w:lang w:val="sr-Latn-CS"/>
              </w:rPr>
              <w:t>- nastavnici</w:t>
            </w:r>
            <w:r w:rsidR="00B22C0B">
              <w:rPr>
                <w:color w:val="auto"/>
                <w:sz w:val="16"/>
                <w:lang w:val="sr-Latn-CS"/>
              </w:rPr>
              <w:t xml:space="preserve">, </w:t>
            </w:r>
            <w:r w:rsidR="00877229">
              <w:rPr>
                <w:color w:val="auto"/>
                <w:sz w:val="16"/>
                <w:lang w:val="sr-Latn-CS"/>
              </w:rPr>
              <w:t>d</w:t>
            </w:r>
            <w:r w:rsidRPr="00C31833">
              <w:rPr>
                <w:color w:val="auto"/>
                <w:sz w:val="16"/>
                <w:lang w:val="sr-Latn-CS"/>
              </w:rPr>
              <w:t>r Julija Cerović</w:t>
            </w:r>
            <w:r w:rsidR="005B20A1">
              <w:rPr>
                <w:color w:val="auto"/>
                <w:sz w:val="16"/>
                <w:lang w:val="sr-Latn-CS"/>
              </w:rPr>
              <w:t xml:space="preserve">- Smolović </w:t>
            </w:r>
            <w:r w:rsidR="00525546">
              <w:rPr>
                <w:color w:val="auto"/>
                <w:sz w:val="16"/>
                <w:lang w:val="sr-Latn-CS"/>
              </w:rPr>
              <w:t>&amp;</w:t>
            </w:r>
            <w:r w:rsidRPr="00C31833">
              <w:rPr>
                <w:color w:val="auto"/>
                <w:sz w:val="16"/>
                <w:lang w:val="sr-Latn-CS"/>
              </w:rPr>
              <w:t xml:space="preserve"> </w:t>
            </w:r>
            <w:r w:rsidR="00E01D0A">
              <w:rPr>
                <w:color w:val="auto"/>
                <w:sz w:val="16"/>
                <w:lang w:val="sr-Latn-CS"/>
              </w:rPr>
              <w:t>d</w:t>
            </w:r>
            <w:r>
              <w:rPr>
                <w:color w:val="auto"/>
                <w:sz w:val="16"/>
                <w:lang w:val="sr-Latn-CS"/>
              </w:rPr>
              <w:t xml:space="preserve">r </w:t>
            </w:r>
            <w:r w:rsidRPr="00C31833">
              <w:rPr>
                <w:color w:val="auto"/>
                <w:sz w:val="16"/>
                <w:lang w:val="sr-Latn-CS"/>
              </w:rPr>
              <w:t>Milena Lipovina</w:t>
            </w:r>
            <w:r>
              <w:rPr>
                <w:color w:val="auto"/>
                <w:sz w:val="16"/>
                <w:lang w:val="sr-Latn-CS"/>
              </w:rPr>
              <w:t>-</w:t>
            </w:r>
            <w:r w:rsidR="005B20A1">
              <w:rPr>
                <w:color w:val="auto"/>
                <w:sz w:val="16"/>
                <w:lang w:val="sr-Latn-CS"/>
              </w:rPr>
              <w:t xml:space="preserve"> </w:t>
            </w:r>
            <w:r>
              <w:rPr>
                <w:color w:val="auto"/>
                <w:sz w:val="16"/>
                <w:lang w:val="sr-Latn-CS"/>
              </w:rPr>
              <w:t xml:space="preserve">Božović </w:t>
            </w:r>
            <w:r w:rsidRPr="00C31833">
              <w:rPr>
                <w:color w:val="auto"/>
                <w:sz w:val="16"/>
                <w:lang w:val="sr-Latn-CS"/>
              </w:rPr>
              <w:t>- saradnici</w:t>
            </w:r>
          </w:p>
        </w:tc>
      </w:tr>
      <w:tr w:rsidR="004F4949" w:rsidTr="00DD446F">
        <w:trPr>
          <w:trHeight w:val="227"/>
        </w:trPr>
        <w:tc>
          <w:tcPr>
            <w:tcW w:w="5000" w:type="pct"/>
            <w:gridSpan w:val="9"/>
          </w:tcPr>
          <w:p w:rsidR="004F4949" w:rsidRDefault="004F4949" w:rsidP="00877229">
            <w:pPr>
              <w:pStyle w:val="BodyText3"/>
              <w:jc w:val="both"/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Klasična predavanje i vježbe. Razgovor i objašnjenja u toku predavanja. Kratke usmene provjere razumijevanja i poznavanja gradiva obrađenog na predavanjima, uz aktivno učešće studenata pri rješavanju zadataka. Predviđen je 1 </w:t>
            </w:r>
            <w:r w:rsidR="00877229">
              <w:rPr>
                <w:rFonts w:cs="Arial"/>
                <w:color w:val="auto"/>
                <w:sz w:val="16"/>
                <w:lang w:val="sl-SI"/>
              </w:rPr>
              <w:t>kolokvijum</w:t>
            </w:r>
            <w:r w:rsidR="00FF43C8">
              <w:rPr>
                <w:rFonts w:cs="Arial"/>
                <w:color w:val="auto"/>
                <w:sz w:val="16"/>
                <w:lang w:val="sl-SI"/>
              </w:rPr>
              <w:t>, tri domaća zadatka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i završni ispit.</w:t>
            </w:r>
          </w:p>
        </w:tc>
      </w:tr>
      <w:tr w:rsidR="004F4949" w:rsidTr="00DD446F">
        <w:trPr>
          <w:cantSplit/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Heading3"/>
              <w:jc w:val="left"/>
              <w:rPr>
                <w:rFonts w:cs="Arial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4F4949" w:rsidRDefault="004F4949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65" w:type="pct"/>
            <w:gridSpan w:val="8"/>
            <w:tcBorders>
              <w:top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4F4949" w:rsidTr="00B259FA">
        <w:trPr>
          <w:cantSplit/>
          <w:trHeight w:val="140"/>
        </w:trPr>
        <w:tc>
          <w:tcPr>
            <w:tcW w:w="981" w:type="pct"/>
            <w:gridSpan w:val="3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19" w:type="pct"/>
            <w:gridSpan w:val="6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Upoznavanje, priprema i upis semestra.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 nedjelja</w:t>
            </w:r>
          </w:p>
        </w:tc>
        <w:tc>
          <w:tcPr>
            <w:tcW w:w="246" w:type="pct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rPr>
                <w:color w:val="auto"/>
                <w:szCs w:val="16"/>
              </w:rPr>
              <w:t>Repetitorijum osnovnih pojmova iz matematike- skup, funkcija, brojevni skupovi, aritmetički i geometrijski niz.Elementarne funkcije.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Ekonomske funkcije.</w:t>
            </w:r>
          </w:p>
          <w:p w:rsidR="00FF43C8" w:rsidRDefault="00FF43C8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Domaći zadatak 1.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6013C5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</w:pPr>
            <w:r>
              <w:t>Račun diobe, račun smješe, verižni račun, procentni račun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rPr>
                <w:color w:val="auto"/>
                <w:szCs w:val="16"/>
              </w:rPr>
              <w:t xml:space="preserve">Primjene procenata kod obračuna poreza, zarada i u kalkulaciji- kupovina i prodaja. </w:t>
            </w:r>
            <w:r>
              <w:t>Ispitivanje tržišta za kupovinu robe i deviza (arbitraža). Amorizacija osnovnog sredstva- definicija i različiti modeli amortizacije O.S.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t>Kamatni račun- anticipativni i dekurzivni metod obračuna kamata. Ekvivalentne kamatne stope. Prost i složeni interesni račun. Koncept vremenske vrijednosti novca. Metode diskontovanja i  prolongacije.</w:t>
            </w:r>
          </w:p>
          <w:p w:rsidR="00FF43C8" w:rsidRDefault="00FF43C8" w:rsidP="00FF2273">
            <w:pPr>
              <w:pStyle w:val="BodyTextIndent2"/>
              <w:ind w:left="0"/>
              <w:jc w:val="both"/>
            </w:pPr>
            <w:r>
              <w:t>Domaći zadatak 2.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Nominalna, relativna i konformna kamatna stopa. Eskontovanje mjenica. Akcije i obveznice. Potrošački  krediti.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77229">
            <w:pPr>
              <w:pStyle w:val="BodyText3"/>
              <w:rPr>
                <w:color w:val="auto"/>
                <w:sz w:val="16"/>
                <w:szCs w:val="16"/>
              </w:rPr>
            </w:pPr>
            <w:r w:rsidRPr="00877229">
              <w:rPr>
                <w:color w:val="auto"/>
                <w:sz w:val="16"/>
                <w:szCs w:val="16"/>
              </w:rPr>
              <w:t>Periodične uplate i isplate- račun periodičnih uloga i račun rente.</w:t>
            </w:r>
          </w:p>
          <w:p w:rsidR="00FF43C8" w:rsidRPr="00877229" w:rsidRDefault="00FF43C8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Domaći zadatak 3.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77229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77229">
            <w:pPr>
              <w:pStyle w:val="BodyTextIndent2"/>
              <w:ind w:left="0"/>
            </w:pPr>
            <w:r>
              <w:t>Investicioni zajmovi. Konverzija zajma. Interkalarna kamata.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Ispitivanje rentabilnosti investicionih projekata- EGT metoda, metoda sadašnje vrijednosti i IRR – interna stopa prinosa.</w:t>
            </w:r>
          </w:p>
        </w:tc>
      </w:tr>
      <w:tr w:rsidR="00877229" w:rsidTr="00877229">
        <w:trPr>
          <w:cantSplit/>
          <w:trHeight w:val="21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t>Osnovni pojmovi teorije vjerovatnoća. Biometrijske funkcije. Pojam osiguranja.</w:t>
            </w:r>
          </w:p>
        </w:tc>
      </w:tr>
      <w:tr w:rsidR="00877229" w:rsidTr="00877229">
        <w:trPr>
          <w:cantSplit/>
          <w:trHeight w:val="7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t>Kolokvijum</w:t>
            </w:r>
          </w:p>
        </w:tc>
      </w:tr>
      <w:tr w:rsidR="00877229" w:rsidTr="00B259FA">
        <w:trPr>
          <w:cantSplit/>
          <w:trHeight w:val="287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</w:pPr>
            <w:r>
              <w:t>Aktuarska matematika- uvod u osiguranje života. Osiguranje lične rente jednokratnom premijom.</w:t>
            </w:r>
          </w:p>
        </w:tc>
      </w:tr>
      <w:tr w:rsidR="00877229" w:rsidTr="00B259FA">
        <w:trPr>
          <w:cantSplit/>
          <w:trHeight w:val="137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093D89" w:rsidP="00877229">
            <w:pPr>
              <w:pStyle w:val="BodyTextIndent2"/>
              <w:ind w:left="0"/>
            </w:pPr>
            <w:r>
              <w:t>Popravni kol</w:t>
            </w:r>
            <w:r w:rsidR="00541996">
              <w:t>o</w:t>
            </w:r>
            <w:r>
              <w:t>kvijum</w:t>
            </w:r>
          </w:p>
        </w:tc>
      </w:tr>
      <w:tr w:rsidR="00877229" w:rsidTr="00B259FA">
        <w:trPr>
          <w:cantSplit/>
          <w:trHeight w:val="189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5E3DE7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Osiguranje kapitala (za slučaj doživljenja, smrti, mješovito i na utvrđeni rok), jednokratnom premijom.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</w:tcBorders>
            <w:vAlign w:val="center"/>
          </w:tcPr>
          <w:p w:rsidR="00877229" w:rsidRPr="00844566" w:rsidRDefault="005E3DE7" w:rsidP="00877229">
            <w:pPr>
              <w:pStyle w:val="BodyTextIndent2"/>
              <w:ind w:left="0"/>
              <w:rPr>
                <w:b/>
              </w:rPr>
            </w:pPr>
            <w:r>
              <w:rPr>
                <w:color w:val="auto"/>
                <w:szCs w:val="16"/>
              </w:rPr>
              <w:t>Osiguranje premijama. Obračun bruto premije.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981" w:type="pct"/>
            <w:gridSpan w:val="3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januar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</w:tcBorders>
            <w:vAlign w:val="center"/>
          </w:tcPr>
          <w:p w:rsidR="00877229" w:rsidRPr="00844566" w:rsidRDefault="00877229" w:rsidP="00877229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Završni i popravni </w:t>
            </w:r>
            <w:r w:rsidRPr="00844566">
              <w:rPr>
                <w:b/>
                <w:color w:val="auto"/>
                <w:sz w:val="16"/>
                <w:szCs w:val="16"/>
              </w:rPr>
              <w:t>završni ispit</w:t>
            </w:r>
          </w:p>
        </w:tc>
      </w:tr>
      <w:tr w:rsidR="00877229" w:rsidTr="00DD446F">
        <w:trPr>
          <w:cantSplit/>
          <w:trHeight w:val="341"/>
        </w:trPr>
        <w:tc>
          <w:tcPr>
            <w:tcW w:w="5000" w:type="pct"/>
            <w:gridSpan w:val="9"/>
            <w:vAlign w:val="center"/>
          </w:tcPr>
          <w:p w:rsidR="00877229" w:rsidRDefault="00877229" w:rsidP="005255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lang w:val="sr-Latn-CS"/>
              </w:rPr>
              <w:t>Obaveze studenta u toku nastave:</w:t>
            </w:r>
            <w:r>
              <w:rPr>
                <w:rFonts w:ascii="Arial" w:hAnsi="Arial" w:cs="Arial"/>
                <w:sz w:val="16"/>
                <w:szCs w:val="16"/>
              </w:rPr>
              <w:t xml:space="preserve"> Studenti su obavezni da pohađaju  nastavu i rade  kolokvijum.</w:t>
            </w:r>
          </w:p>
        </w:tc>
      </w:tr>
      <w:tr w:rsidR="00877229" w:rsidTr="00DD446F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sz w:val="16"/>
                <w:szCs w:val="16"/>
                <w:lang w:val="sl-SI"/>
              </w:rPr>
              <w:t>Konsultacije se održavaju  poslije predavanja.</w:t>
            </w:r>
          </w:p>
        </w:tc>
      </w:tr>
      <w:tr w:rsidR="00877229" w:rsidTr="00DD446F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3"/>
              <w:rPr>
                <w:b/>
                <w:b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877229" w:rsidTr="00DD446F">
        <w:trPr>
          <w:cantSplit/>
          <w:trHeight w:val="720"/>
        </w:trPr>
        <w:tc>
          <w:tcPr>
            <w:tcW w:w="1813" w:type="pct"/>
            <w:gridSpan w:val="5"/>
            <w:tcBorders>
              <w:top w:val="dotted" w:sz="4" w:space="0" w:color="auto"/>
            </w:tcBorders>
          </w:tcPr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</w:p>
        </w:tc>
        <w:tc>
          <w:tcPr>
            <w:tcW w:w="3187" w:type="pct"/>
            <w:gridSpan w:val="4"/>
            <w:tcBorders>
              <w:top w:val="dotted" w:sz="4" w:space="0" w:color="auto"/>
            </w:tcBorders>
          </w:tcPr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bookmarkStart w:id="0" w:name="_GoBack"/>
            <w:bookmarkEnd w:id="0"/>
          </w:p>
        </w:tc>
      </w:tr>
      <w:tr w:rsidR="00877229" w:rsidTr="00DD446F">
        <w:trPr>
          <w:cantSplit/>
          <w:trHeight w:val="411"/>
        </w:trPr>
        <w:tc>
          <w:tcPr>
            <w:tcW w:w="5000" w:type="pct"/>
            <w:gridSpan w:val="9"/>
            <w:vAlign w:val="center"/>
          </w:tcPr>
          <w:p w:rsidR="00877229" w:rsidRDefault="00877229" w:rsidP="00877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lastRenderedPageBreak/>
              <w:t xml:space="preserve">Literatura:  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Obavezan udžbenik: B. Laković  V. Kašćelan    Privredna i finansijska matematika,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Ekonomski fakultet- Poslovna škola, II izdanje, Podgorica, 1997.</w:t>
            </w:r>
          </w:p>
        </w:tc>
      </w:tr>
      <w:tr w:rsidR="00877229" w:rsidRPr="00F91A14" w:rsidTr="00B259FA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877229" w:rsidRPr="00C13AD9" w:rsidRDefault="00877229" w:rsidP="00877229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C13AD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 w:rsidRPr="00C13AD9"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FF43C8" w:rsidRDefault="00FF43C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Aktivnosti na času- 4 poena</w:t>
            </w:r>
          </w:p>
          <w:p w:rsidR="00FF43C8" w:rsidRDefault="00FF43C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3 domaća zadatka- 6 poena</w:t>
            </w:r>
          </w:p>
          <w:p w:rsidR="00877229" w:rsidRPr="00C13AD9" w:rsidRDefault="00CB2F6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K</w:t>
            </w:r>
            <w:r w:rsidR="00FF43C8">
              <w:rPr>
                <w:rFonts w:ascii="Arial" w:hAnsi="Arial" w:cs="Arial"/>
                <w:color w:val="000000"/>
                <w:sz w:val="16"/>
                <w:lang w:val="sr-Latn-CS"/>
              </w:rPr>
              <w:t>olokvijum- 4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0 poena</w:t>
            </w:r>
          </w:p>
          <w:p w:rsidR="00877229" w:rsidRPr="00C13AD9" w:rsidRDefault="00FF43C8" w:rsidP="00877229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Završni ispit- </w:t>
            </w:r>
            <w:r w:rsidR="00CB2F68">
              <w:rPr>
                <w:rFonts w:ascii="Arial" w:hAnsi="Arial" w:cs="Arial"/>
                <w:color w:val="000000"/>
                <w:sz w:val="16"/>
                <w:lang w:val="sr-Latn-CS"/>
              </w:rPr>
              <w:t>5</w:t>
            </w:r>
            <w:r w:rsidR="00877229">
              <w:rPr>
                <w:rFonts w:ascii="Arial" w:hAnsi="Arial" w:cs="Arial"/>
                <w:color w:val="000000"/>
                <w:sz w:val="16"/>
                <w:lang w:val="sr-Latn-CS"/>
              </w:rPr>
              <w:t>0</w:t>
            </w:r>
            <w:r w:rsidR="00CB2F68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poena</w:t>
            </w:r>
          </w:p>
          <w:p w:rsidR="00877229" w:rsidRDefault="00877229" w:rsidP="005B20A1">
            <w:pPr>
              <w:jc w:val="both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</w:t>
            </w:r>
            <w:r w:rsidR="005B20A1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      Studentu koji izlazi na popravni kolokvijum ili popravni završni ispit računa se rezultat ostvaren na njemu.</w:t>
            </w:r>
          </w:p>
          <w:p w:rsidR="00877229" w:rsidRPr="00F91A14" w:rsidRDefault="00877229" w:rsidP="00525546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Prelazna ocjena se </w:t>
            </w:r>
            <w:r w:rsidRPr="00C13AD9">
              <w:rPr>
                <w:rFonts w:ascii="Arial" w:hAnsi="Arial" w:cs="Arial"/>
                <w:color w:val="000000"/>
                <w:sz w:val="16"/>
                <w:lang w:val="sr-Latn-CS"/>
              </w:rPr>
              <w:t>dobija ako se kumulativno sakupi najmanje 50 poena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.</w:t>
            </w:r>
          </w:p>
        </w:tc>
      </w:tr>
      <w:tr w:rsidR="00877229" w:rsidTr="004A59A7">
        <w:trPr>
          <w:cantSplit/>
          <w:trHeight w:val="295"/>
        </w:trPr>
        <w:tc>
          <w:tcPr>
            <w:tcW w:w="80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77229" w:rsidRDefault="00877229" w:rsidP="008772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10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877229" w:rsidTr="004A59A7">
        <w:trPr>
          <w:cantSplit/>
          <w:trHeight w:val="295"/>
        </w:trPr>
        <w:tc>
          <w:tcPr>
            <w:tcW w:w="802" w:type="pct"/>
            <w:gridSpan w:val="2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79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79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102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50-59</w:t>
            </w:r>
          </w:p>
        </w:tc>
      </w:tr>
    </w:tbl>
    <w:p w:rsid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  <w:r w:rsidRPr="00877229">
        <w:rPr>
          <w:rFonts w:ascii="Times New Roman" w:eastAsia="Calibri" w:hAnsi="Times New Roman"/>
          <w:sz w:val="24"/>
          <w:lang w:val="sr-Latn-CS"/>
        </w:rPr>
        <w:t>Matematika za biznis- ishodi učenja</w:t>
      </w: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  <w:r w:rsidRPr="00877229">
        <w:rPr>
          <w:rFonts w:ascii="Times New Roman" w:eastAsia="Calibri" w:hAnsi="Times New Roman"/>
          <w:sz w:val="24"/>
          <w:lang w:val="sr-Latn-CS"/>
        </w:rPr>
        <w:t>Po završetku ovog kursa student će se osposobiti da:</w:t>
      </w:r>
    </w:p>
    <w:p w:rsidR="00877229" w:rsidRPr="00877229" w:rsidRDefault="00877229" w:rsidP="00877229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0"/>
          <w:szCs w:val="20"/>
          <w:lang w:val="en-US"/>
        </w:rPr>
      </w:pP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Definiše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ekonomske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funkcije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,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izračuna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ravnotežnu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cijenu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i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odredi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interval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rentabilnosti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>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Definiše prostu i složenu proporciju, podjelu date veličine, ponderisanu aritmetičku sredinu i primijeni procentni račun kod rješavanja zadataka privredne matematike.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Opiše anticipativan i dekurzivan metod obračuna kamate, nominalnu, relativnu i konformnu kamatnu stopu i primijeni te pojmove pri utvrđivanju cijena instrumenata na tržištu novca.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Odredi anuitet i napravi plan otplate potrošačkih i investicionih kredita.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Primijeni princip ekvivalencije i metode diskontovanja i prolongacije kod ispitivanja rentabilnosti investicija, pri vrjednovanju dugoročnih obveznica i akcija.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Izračuna diskontni faktor u osiguravajuće-tehničkom smislu, definiše biometrijske funkcije i primjenjuje finansijsku matematiku i vjerovatnoću pri rješavanju jednostavnijih zadataka aktuarske matematike.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Opiše vrste osiguranja života i izračuna neto i bruto premiju za svaku od njih.</w:t>
      </w: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4F4949" w:rsidRDefault="004F4949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sectPr w:rsidR="004F4949" w:rsidSect="00731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2D92"/>
    <w:multiLevelType w:val="hybridMultilevel"/>
    <w:tmpl w:val="DDDAB33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14C52"/>
    <w:multiLevelType w:val="hybridMultilevel"/>
    <w:tmpl w:val="7144B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66"/>
    <w:rsid w:val="00086C7A"/>
    <w:rsid w:val="00093D89"/>
    <w:rsid w:val="001306AE"/>
    <w:rsid w:val="00130BF9"/>
    <w:rsid w:val="00141389"/>
    <w:rsid w:val="00145163"/>
    <w:rsid w:val="00173931"/>
    <w:rsid w:val="001B2EE8"/>
    <w:rsid w:val="001C6002"/>
    <w:rsid w:val="002E0D21"/>
    <w:rsid w:val="002E5C32"/>
    <w:rsid w:val="00387D69"/>
    <w:rsid w:val="00462F11"/>
    <w:rsid w:val="004A59A7"/>
    <w:rsid w:val="004C696F"/>
    <w:rsid w:val="004F4949"/>
    <w:rsid w:val="00525546"/>
    <w:rsid w:val="00541996"/>
    <w:rsid w:val="005B20A1"/>
    <w:rsid w:val="005E3DE7"/>
    <w:rsid w:val="006013C5"/>
    <w:rsid w:val="006861B8"/>
    <w:rsid w:val="00731816"/>
    <w:rsid w:val="00750EC3"/>
    <w:rsid w:val="007F14CF"/>
    <w:rsid w:val="00810FF0"/>
    <w:rsid w:val="00844566"/>
    <w:rsid w:val="00877229"/>
    <w:rsid w:val="008C251E"/>
    <w:rsid w:val="008D7036"/>
    <w:rsid w:val="009436EE"/>
    <w:rsid w:val="009C57DA"/>
    <w:rsid w:val="00A044BD"/>
    <w:rsid w:val="00A11B05"/>
    <w:rsid w:val="00A366C4"/>
    <w:rsid w:val="00AB19A6"/>
    <w:rsid w:val="00AD5C34"/>
    <w:rsid w:val="00B0430B"/>
    <w:rsid w:val="00B104AD"/>
    <w:rsid w:val="00B22C0B"/>
    <w:rsid w:val="00B259FA"/>
    <w:rsid w:val="00C1393B"/>
    <w:rsid w:val="00C13AD9"/>
    <w:rsid w:val="00C31833"/>
    <w:rsid w:val="00C83B10"/>
    <w:rsid w:val="00CA7EAD"/>
    <w:rsid w:val="00CB2F68"/>
    <w:rsid w:val="00CB63EF"/>
    <w:rsid w:val="00CF296B"/>
    <w:rsid w:val="00D16631"/>
    <w:rsid w:val="00D50EEF"/>
    <w:rsid w:val="00D55AF7"/>
    <w:rsid w:val="00D57EA3"/>
    <w:rsid w:val="00D673D7"/>
    <w:rsid w:val="00D95D29"/>
    <w:rsid w:val="00DC7245"/>
    <w:rsid w:val="00DD446F"/>
    <w:rsid w:val="00E00501"/>
    <w:rsid w:val="00E01D0A"/>
    <w:rsid w:val="00E246A6"/>
    <w:rsid w:val="00F259AC"/>
    <w:rsid w:val="00F91A14"/>
    <w:rsid w:val="00FA1691"/>
    <w:rsid w:val="00FE7858"/>
    <w:rsid w:val="00FF2273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AE"/>
    <w:rPr>
      <w:rFonts w:ascii="Tahoma" w:hAnsi="Tahoma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6AE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6AE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6A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06AE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58"/>
    <w:rPr>
      <w:rFonts w:ascii="Cambria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7858"/>
    <w:rPr>
      <w:rFonts w:ascii="Cambria" w:hAnsi="Cambria" w:cs="Times New Roman"/>
      <w:b/>
      <w:bCs/>
      <w:i/>
      <w:iCs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7858"/>
    <w:rPr>
      <w:rFonts w:ascii="Cambria" w:hAnsi="Cambria" w:cs="Times New Roman"/>
      <w:b/>
      <w:bCs/>
      <w:sz w:val="26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7858"/>
    <w:rPr>
      <w:rFonts w:ascii="Calibri" w:hAnsi="Calibri" w:cs="Times New Roman"/>
      <w:b/>
      <w:bCs/>
      <w:sz w:val="28"/>
      <w:szCs w:val="28"/>
      <w:lang w:val="sl-SI"/>
    </w:rPr>
  </w:style>
  <w:style w:type="paragraph" w:styleId="BodyText3">
    <w:name w:val="Body Text 3"/>
    <w:basedOn w:val="Normal"/>
    <w:link w:val="BodyText3Char"/>
    <w:uiPriority w:val="99"/>
    <w:rsid w:val="001306AE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E7858"/>
    <w:rPr>
      <w:rFonts w:ascii="Tahoma" w:hAnsi="Tahoma" w:cs="Times New Roman"/>
      <w:sz w:val="16"/>
      <w:szCs w:val="16"/>
      <w:lang w:val="sl-SI"/>
    </w:rPr>
  </w:style>
  <w:style w:type="paragraph" w:styleId="NormalWeb">
    <w:name w:val="Normal (Web)"/>
    <w:basedOn w:val="Normal"/>
    <w:uiPriority w:val="99"/>
    <w:rsid w:val="001306AE"/>
    <w:pPr>
      <w:spacing w:before="100" w:beforeAutospacing="1" w:after="100" w:afterAutospacing="1"/>
    </w:pPr>
    <w:rPr>
      <w:rFonts w:ascii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306AE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character" w:styleId="Hyperlink">
    <w:name w:val="Hyperlink"/>
    <w:basedOn w:val="DefaultParagraphFont"/>
    <w:uiPriority w:val="99"/>
    <w:rsid w:val="001306A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306AE"/>
    <w:pPr>
      <w:jc w:val="both"/>
    </w:pPr>
    <w:rPr>
      <w:rFonts w:ascii="Arial" w:hAnsi="Arial" w:cs="Arial"/>
      <w:color w:val="000000"/>
      <w:sz w:val="22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paragraph" w:styleId="Title">
    <w:name w:val="Title"/>
    <w:basedOn w:val="Normal"/>
    <w:link w:val="TitleChar"/>
    <w:uiPriority w:val="99"/>
    <w:qFormat/>
    <w:rsid w:val="001306AE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E7858"/>
    <w:rPr>
      <w:rFonts w:ascii="Cambria" w:hAnsi="Cambria" w:cs="Times New Roman"/>
      <w:b/>
      <w:bCs/>
      <w:kern w:val="28"/>
      <w:sz w:val="32"/>
      <w:szCs w:val="3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34"/>
    <w:rPr>
      <w:rFonts w:ascii="Segoe UI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AE"/>
    <w:rPr>
      <w:rFonts w:ascii="Tahoma" w:hAnsi="Tahoma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6AE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6AE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6A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06AE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58"/>
    <w:rPr>
      <w:rFonts w:ascii="Cambria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7858"/>
    <w:rPr>
      <w:rFonts w:ascii="Cambria" w:hAnsi="Cambria" w:cs="Times New Roman"/>
      <w:b/>
      <w:bCs/>
      <w:i/>
      <w:iCs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7858"/>
    <w:rPr>
      <w:rFonts w:ascii="Cambria" w:hAnsi="Cambria" w:cs="Times New Roman"/>
      <w:b/>
      <w:bCs/>
      <w:sz w:val="26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7858"/>
    <w:rPr>
      <w:rFonts w:ascii="Calibri" w:hAnsi="Calibri" w:cs="Times New Roman"/>
      <w:b/>
      <w:bCs/>
      <w:sz w:val="28"/>
      <w:szCs w:val="28"/>
      <w:lang w:val="sl-SI"/>
    </w:rPr>
  </w:style>
  <w:style w:type="paragraph" w:styleId="BodyText3">
    <w:name w:val="Body Text 3"/>
    <w:basedOn w:val="Normal"/>
    <w:link w:val="BodyText3Char"/>
    <w:uiPriority w:val="99"/>
    <w:rsid w:val="001306AE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E7858"/>
    <w:rPr>
      <w:rFonts w:ascii="Tahoma" w:hAnsi="Tahoma" w:cs="Times New Roman"/>
      <w:sz w:val="16"/>
      <w:szCs w:val="16"/>
      <w:lang w:val="sl-SI"/>
    </w:rPr>
  </w:style>
  <w:style w:type="paragraph" w:styleId="NormalWeb">
    <w:name w:val="Normal (Web)"/>
    <w:basedOn w:val="Normal"/>
    <w:uiPriority w:val="99"/>
    <w:rsid w:val="001306AE"/>
    <w:pPr>
      <w:spacing w:before="100" w:beforeAutospacing="1" w:after="100" w:afterAutospacing="1"/>
    </w:pPr>
    <w:rPr>
      <w:rFonts w:ascii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306AE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character" w:styleId="Hyperlink">
    <w:name w:val="Hyperlink"/>
    <w:basedOn w:val="DefaultParagraphFont"/>
    <w:uiPriority w:val="99"/>
    <w:rsid w:val="001306A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306AE"/>
    <w:pPr>
      <w:jc w:val="both"/>
    </w:pPr>
    <w:rPr>
      <w:rFonts w:ascii="Arial" w:hAnsi="Arial" w:cs="Arial"/>
      <w:color w:val="000000"/>
      <w:sz w:val="22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paragraph" w:styleId="Title">
    <w:name w:val="Title"/>
    <w:basedOn w:val="Normal"/>
    <w:link w:val="TitleChar"/>
    <w:uiPriority w:val="99"/>
    <w:qFormat/>
    <w:rsid w:val="001306AE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E7858"/>
    <w:rPr>
      <w:rFonts w:ascii="Cambria" w:hAnsi="Cambria" w:cs="Times New Roman"/>
      <w:b/>
      <w:bCs/>
      <w:kern w:val="28"/>
      <w:sz w:val="32"/>
      <w:szCs w:val="3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34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EF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Svetlana Rakocevic</dc:creator>
  <cp:lastModifiedBy>User</cp:lastModifiedBy>
  <cp:revision>4</cp:revision>
  <cp:lastPrinted>2015-06-26T09:44:00Z</cp:lastPrinted>
  <dcterms:created xsi:type="dcterms:W3CDTF">2017-09-20T08:27:00Z</dcterms:created>
  <dcterms:modified xsi:type="dcterms:W3CDTF">2017-09-25T12:40:00Z</dcterms:modified>
</cp:coreProperties>
</file>